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40"/>
          <w:szCs w:val="30"/>
        </w:rPr>
      </w:pPr>
    </w:p>
    <w:p>
      <w:pPr>
        <w:jc w:val="center"/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南通巴大宝鼎生物饲料有限公司</w:t>
      </w:r>
    </w:p>
    <w:p>
      <w:pPr>
        <w:jc w:val="center"/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设备竞价公告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南通巴大宝鼎生物饲料有限公司场地租赁到期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现拟对公司生产设备进行对外竞价拍卖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拍卖</w:t>
      </w:r>
      <w:r>
        <w:rPr>
          <w:rFonts w:hint="eastAsia" w:ascii="黑体" w:hAnsi="黑体" w:eastAsia="黑体"/>
          <w:sz w:val="32"/>
          <w:szCs w:val="32"/>
        </w:rPr>
        <w:t>标的：</w:t>
      </w:r>
      <w:r>
        <w:rPr>
          <w:rFonts w:hint="eastAsia" w:ascii="华文仿宋" w:hAnsi="华文仿宋" w:eastAsia="华文仿宋"/>
          <w:sz w:val="32"/>
          <w:szCs w:val="32"/>
        </w:rPr>
        <w:t>包含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CPM饲料生产线一条、30T/D发酵豆粕生产线一条、浓缩料线一条、预混料线一条、发酵系统一套等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除需保留和调拨的设备外（详见巴大宝鼎车间设备明细表），</w:t>
      </w:r>
      <w:r>
        <w:rPr>
          <w:rFonts w:hint="eastAsia" w:ascii="华文仿宋" w:hAnsi="华文仿宋" w:eastAsia="华文仿宋"/>
          <w:sz w:val="32"/>
          <w:szCs w:val="32"/>
        </w:rPr>
        <w:t>均以现场生产设备实际存量为准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二、标的地址：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南通市如东县银河工业园区银河路88号巴大宝鼎公司厂区内。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三、竞价方式：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本次竞价采取公布底价，邮件一次报价，价高者得的方式。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、实地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察</w:t>
      </w:r>
      <w:r>
        <w:rPr>
          <w:rFonts w:hint="eastAsia" w:ascii="黑体" w:hAnsi="黑体" w:eastAsia="黑体"/>
          <w:sz w:val="32"/>
          <w:szCs w:val="32"/>
        </w:rPr>
        <w:t>勘时间：</w:t>
      </w: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月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日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12时前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竞价</w:t>
      </w:r>
      <w:r>
        <w:rPr>
          <w:rFonts w:hint="eastAsia" w:ascii="黑体" w:hAnsi="黑体" w:eastAsia="黑体"/>
          <w:sz w:val="32"/>
          <w:szCs w:val="32"/>
        </w:rPr>
        <w:t>方式及要求</w:t>
      </w:r>
    </w:p>
    <w:p>
      <w:pPr>
        <w:ind w:firstLine="640" w:firstLineChars="200"/>
        <w:rPr>
          <w:rFonts w:hint="default" w:ascii="楷体" w:hAnsi="楷体" w:eastAsia="华文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竞价</w:t>
      </w:r>
      <w:r>
        <w:rPr>
          <w:rFonts w:hint="eastAsia" w:ascii="楷体" w:hAnsi="楷体" w:eastAsia="楷体"/>
          <w:sz w:val="32"/>
          <w:szCs w:val="32"/>
        </w:rPr>
        <w:t>方式：</w:t>
      </w:r>
      <w:r>
        <w:rPr>
          <w:rFonts w:hint="eastAsia" w:ascii="华文仿宋" w:hAnsi="华文仿宋" w:eastAsia="华文仿宋"/>
          <w:sz w:val="32"/>
          <w:szCs w:val="32"/>
        </w:rPr>
        <w:t>邮件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发送报价单和相关竞价材料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ascii="华文仿宋" w:hAnsi="华文仿宋" w:eastAsia="华文仿宋"/>
          <w:sz w:val="32"/>
          <w:szCs w:val="32"/>
        </w:rPr>
        <w:t>邮箱</w:t>
      </w:r>
      <w:r>
        <w:rPr>
          <w:rFonts w:hint="eastAsia" w:ascii="华文仿宋" w:hAnsi="华文仿宋" w:eastAsia="华文仿宋"/>
          <w:sz w:val="32"/>
          <w:szCs w:val="32"/>
        </w:rPr>
        <w:t>：</w:t>
      </w:r>
      <w:r>
        <w:fldChar w:fldCharType="begin"/>
      </w:r>
      <w:r>
        <w:instrText xml:space="preserve"> HYPERLINK "mailto:penghh@tongwei.com" </w:instrText>
      </w:r>
      <w:r>
        <w:fldChar w:fldCharType="separate"/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xun01</w:t>
      </w:r>
      <w:r>
        <w:rPr>
          <w:rFonts w:hint="eastAsia" w:ascii="华文仿宋" w:hAnsi="华文仿宋" w:eastAsia="华文仿宋"/>
          <w:sz w:val="32"/>
          <w:szCs w:val="32"/>
        </w:rPr>
        <w:t>@tongwei.co</w:t>
      </w:r>
      <w:r>
        <w:rPr>
          <w:sz w:val="32"/>
          <w:szCs w:val="32"/>
        </w:rPr>
        <w:t>m</w:t>
      </w:r>
      <w:r>
        <w:rPr>
          <w:sz w:val="32"/>
          <w:szCs w:val="32"/>
        </w:rPr>
        <w:fldChar w:fldCharType="end"/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ascii="华文仿宋" w:hAnsi="华文仿宋" w:eastAsia="华文仿宋"/>
          <w:spacing w:val="0"/>
          <w:kern w:val="0"/>
          <w:sz w:val="32"/>
          <w:szCs w:val="32"/>
          <w:fitText w:val="960" w:id="567555994"/>
        </w:rPr>
        <w:t>联系人</w:t>
      </w:r>
      <w:r>
        <w:rPr>
          <w:rFonts w:hint="eastAsia" w:ascii="华文仿宋" w:hAnsi="华文仿宋" w:eastAsia="华文仿宋"/>
          <w:sz w:val="32"/>
          <w:szCs w:val="32"/>
        </w:rPr>
        <w:t>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徐女士18048521273</w:t>
      </w:r>
    </w:p>
    <w:p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报价单和竞价材料发送</w:t>
      </w:r>
      <w:r>
        <w:rPr>
          <w:rFonts w:hint="eastAsia" w:ascii="楷体" w:hAnsi="楷体" w:eastAsia="楷体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华文仿宋" w:hAnsi="华文仿宋" w:eastAsia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highlight w:val="none"/>
        </w:rPr>
        <w:t>20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年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月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日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17：00前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竞买人必须为中华人民共和国境内法人或其他合法组织，须具有生产设备或废旧生产设备收购和处置资质，且竞买人应在报名截止时间之前足额缴纳竞价保证金。</w:t>
      </w:r>
    </w:p>
    <w:p>
      <w:pPr>
        <w:ind w:firstLine="640" w:firstLineChars="200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竞价</w:t>
      </w:r>
      <w:r>
        <w:rPr>
          <w:rFonts w:ascii="楷体" w:hAnsi="楷体" w:eastAsia="楷体"/>
          <w:sz w:val="32"/>
          <w:szCs w:val="32"/>
        </w:rPr>
        <w:t>时应提供的材料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均发送至竞价邮箱）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1. 报价单扫描件；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2. 竞价承诺函扫描件；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/>
          <w:sz w:val="32"/>
          <w:szCs w:val="32"/>
        </w:rPr>
        <w:t xml:space="preserve">. </w:t>
      </w:r>
      <w:r>
        <w:rPr>
          <w:rFonts w:hint="eastAsia" w:ascii="华文仿宋" w:hAnsi="华文仿宋" w:eastAsia="华文仿宋"/>
          <w:sz w:val="32"/>
          <w:szCs w:val="32"/>
        </w:rPr>
        <w:t>工商营业执照扫描件（需加盖公章）；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/>
          <w:sz w:val="32"/>
          <w:szCs w:val="32"/>
        </w:rPr>
        <w:t xml:space="preserve">. </w:t>
      </w:r>
      <w:r>
        <w:rPr>
          <w:rFonts w:hint="eastAsia" w:ascii="华文仿宋" w:hAnsi="华文仿宋" w:eastAsia="华文仿宋"/>
          <w:sz w:val="32"/>
          <w:szCs w:val="32"/>
        </w:rPr>
        <w:t>法定代表人或负责人身份证扫描件；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/>
          <w:sz w:val="32"/>
          <w:szCs w:val="32"/>
        </w:rPr>
        <w:t>. 竞价保证金缴款凭证复印件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6. </w:t>
      </w:r>
      <w:r>
        <w:rPr>
          <w:rFonts w:hint="eastAsia" w:ascii="华文仿宋" w:hAnsi="华文仿宋" w:eastAsia="华文仿宋"/>
          <w:sz w:val="32"/>
          <w:szCs w:val="32"/>
        </w:rPr>
        <w:t>授权委托书（经竞买人签章原件）及授权代表的身份证扫描件（交验原件）[注：非法定代表人或非负责人参加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的需提供该项资料];</w:t>
      </w:r>
    </w:p>
    <w:p>
      <w:pPr>
        <w:ind w:firstLine="640" w:firstLineChars="200"/>
        <w:rPr>
          <w:rFonts w:ascii="黑体" w:hAnsi="黑体" w:eastAsia="黑体" w:cs="宋体"/>
          <w:color w:val="43434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34343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color w:val="434343"/>
          <w:kern w:val="0"/>
          <w:sz w:val="32"/>
          <w:szCs w:val="32"/>
        </w:rPr>
        <w:t>、竞价保证金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（一）保证金金额：人民币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壹</w:t>
      </w:r>
      <w:r>
        <w:rPr>
          <w:rFonts w:hint="eastAsia" w:ascii="华文仿宋" w:hAnsi="华文仿宋" w:eastAsia="华文仿宋"/>
          <w:sz w:val="32"/>
          <w:szCs w:val="32"/>
        </w:rPr>
        <w:t>拾万元整（￥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00,000.00）。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（二）竞价保证金须由竞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人在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报价</w:t>
      </w:r>
      <w:r>
        <w:rPr>
          <w:rFonts w:hint="eastAsia" w:ascii="华文仿宋" w:hAnsi="华文仿宋" w:eastAsia="华文仿宋"/>
          <w:sz w:val="32"/>
          <w:szCs w:val="32"/>
        </w:rPr>
        <w:t>之前以银行转账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方式</w:t>
      </w:r>
      <w:r>
        <w:rPr>
          <w:rFonts w:hint="eastAsia" w:ascii="华文仿宋" w:hAnsi="华文仿宋" w:eastAsia="华文仿宋"/>
          <w:sz w:val="32"/>
          <w:szCs w:val="32"/>
        </w:rPr>
        <w:t>汇达本公司指定账户，汇款人名称应与竞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人名称一致，不得代缴，用途应注明“竞价保证金”。 本公司账户信息如下：</w:t>
      </w:r>
    </w:p>
    <w:p>
      <w:pPr>
        <w:ind w:firstLine="641" w:firstLineChars="200"/>
        <w:rPr>
          <w:rFonts w:hint="default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开户名称：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南通巴大宝鼎生物饲料有限公司</w:t>
      </w:r>
    </w:p>
    <w:p>
      <w:pPr>
        <w:ind w:firstLine="641" w:firstLineChars="200"/>
        <w:rPr>
          <w:rFonts w:hint="default" w:ascii="华文仿宋" w:hAnsi="华文仿宋" w:eastAsia="华文仿宋"/>
          <w:b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开户银行：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中国农业银行如东县支行岔河分理处</w:t>
      </w:r>
    </w:p>
    <w:p>
      <w:pPr>
        <w:ind w:firstLine="641" w:firstLineChars="200"/>
        <w:rPr>
          <w:rFonts w:hint="default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银行账户：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711101040006872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（三）竞买人成功竞得该标的后，竞价保证金将直接转为《生产设备处置协议书》（详见附件</w:t>
      </w:r>
      <w:r>
        <w:rPr>
          <w:rFonts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）中的安全保证金。如竞得人不愿签定《生产设备处置协议书》，则竞价保证金不予退还，同时，甲方有权对标的再行竞价，再行竞价的价款低于本次竞价价款的，由本次竞得人赔偿其差额。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（四）若竞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人未竞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标</w:t>
      </w:r>
      <w:r>
        <w:rPr>
          <w:rFonts w:hint="eastAsia" w:ascii="华文仿宋" w:hAnsi="华文仿宋" w:eastAsia="华文仿宋"/>
          <w:sz w:val="32"/>
          <w:szCs w:val="32"/>
        </w:rPr>
        <w:t>成功，竞价保证金将在竞价结束次日起</w:t>
      </w:r>
      <w:r>
        <w:rPr>
          <w:rFonts w:ascii="华文仿宋" w:hAnsi="华文仿宋" w:eastAsia="华文仿宋"/>
          <w:sz w:val="32"/>
          <w:szCs w:val="32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个工作日内按原渠道无息退还。</w:t>
      </w:r>
    </w:p>
    <w:p>
      <w:pPr>
        <w:widowControl/>
        <w:shd w:val="clear" w:color="auto" w:fill="FFFFFF"/>
        <w:spacing w:before="225" w:line="315" w:lineRule="atLeast"/>
        <w:ind w:firstLine="640" w:firstLineChars="200"/>
        <w:rPr>
          <w:rFonts w:ascii="黑体" w:hAnsi="黑体" w:eastAsia="黑体" w:cs="宋体"/>
          <w:color w:val="43434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34343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宋体"/>
          <w:color w:val="434343"/>
          <w:kern w:val="0"/>
          <w:sz w:val="32"/>
          <w:szCs w:val="32"/>
        </w:rPr>
        <w:t>、其它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人应于竞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前在规定时间内实地了解竞价标的物现状。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（二）按照本次竞价流程，竞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人一经提交报价，则所提交报价即对竞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价</w:t>
      </w:r>
      <w:r>
        <w:rPr>
          <w:rFonts w:hint="eastAsia" w:ascii="华文仿宋" w:hAnsi="华文仿宋" w:eastAsia="华文仿宋"/>
          <w:sz w:val="32"/>
          <w:szCs w:val="32"/>
        </w:rPr>
        <w:t>人产生约束力。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ascii="华文仿宋" w:hAnsi="华文仿宋" w:eastAsia="华文仿宋"/>
          <w:sz w:val="32"/>
          <w:szCs w:val="32"/>
        </w:rPr>
        <w:t>特此公告</w:t>
      </w: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</w:rPr>
      </w:pPr>
    </w:p>
    <w:p>
      <w:pPr>
        <w:jc w:val="both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南通巴大宝鼎生物饲料有限公司</w:t>
      </w:r>
    </w:p>
    <w:p>
      <w:pPr>
        <w:ind w:firstLine="640" w:firstLineChars="2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E2BA4"/>
    <w:multiLevelType w:val="singleLevel"/>
    <w:tmpl w:val="6AAE2B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AB"/>
    <w:rsid w:val="0001390E"/>
    <w:rsid w:val="000309A9"/>
    <w:rsid w:val="000323B8"/>
    <w:rsid w:val="000349C1"/>
    <w:rsid w:val="000351C9"/>
    <w:rsid w:val="000A7788"/>
    <w:rsid w:val="000E7570"/>
    <w:rsid w:val="00100BE2"/>
    <w:rsid w:val="001555E6"/>
    <w:rsid w:val="001703D7"/>
    <w:rsid w:val="001724FC"/>
    <w:rsid w:val="001A79FA"/>
    <w:rsid w:val="001B5860"/>
    <w:rsid w:val="001E3E38"/>
    <w:rsid w:val="001F037D"/>
    <w:rsid w:val="001F3D5F"/>
    <w:rsid w:val="00276C12"/>
    <w:rsid w:val="00281C87"/>
    <w:rsid w:val="00287BDA"/>
    <w:rsid w:val="002A2955"/>
    <w:rsid w:val="002C3714"/>
    <w:rsid w:val="002C765B"/>
    <w:rsid w:val="002D2143"/>
    <w:rsid w:val="002F2D8A"/>
    <w:rsid w:val="003005B7"/>
    <w:rsid w:val="00352F11"/>
    <w:rsid w:val="003576C0"/>
    <w:rsid w:val="003C3BBA"/>
    <w:rsid w:val="003D1318"/>
    <w:rsid w:val="003D13B8"/>
    <w:rsid w:val="003D519D"/>
    <w:rsid w:val="003E4FF4"/>
    <w:rsid w:val="00462D8B"/>
    <w:rsid w:val="00463242"/>
    <w:rsid w:val="004671C3"/>
    <w:rsid w:val="00480730"/>
    <w:rsid w:val="004C3270"/>
    <w:rsid w:val="0055651A"/>
    <w:rsid w:val="0057544D"/>
    <w:rsid w:val="00575F58"/>
    <w:rsid w:val="005D1C53"/>
    <w:rsid w:val="00623136"/>
    <w:rsid w:val="00635D15"/>
    <w:rsid w:val="00657B12"/>
    <w:rsid w:val="0066151E"/>
    <w:rsid w:val="006D3624"/>
    <w:rsid w:val="00701CE8"/>
    <w:rsid w:val="00714BE7"/>
    <w:rsid w:val="007267F1"/>
    <w:rsid w:val="007268FC"/>
    <w:rsid w:val="00760AE1"/>
    <w:rsid w:val="007612E4"/>
    <w:rsid w:val="007638F8"/>
    <w:rsid w:val="00765F28"/>
    <w:rsid w:val="007964C1"/>
    <w:rsid w:val="007D2BDF"/>
    <w:rsid w:val="007E5CD8"/>
    <w:rsid w:val="007F26B2"/>
    <w:rsid w:val="007F2730"/>
    <w:rsid w:val="007F4133"/>
    <w:rsid w:val="00821551"/>
    <w:rsid w:val="00821853"/>
    <w:rsid w:val="008366A3"/>
    <w:rsid w:val="0084477B"/>
    <w:rsid w:val="00857919"/>
    <w:rsid w:val="008E1C27"/>
    <w:rsid w:val="00947740"/>
    <w:rsid w:val="00970036"/>
    <w:rsid w:val="009714B1"/>
    <w:rsid w:val="009C5F53"/>
    <w:rsid w:val="009E004D"/>
    <w:rsid w:val="009E2857"/>
    <w:rsid w:val="00A331F4"/>
    <w:rsid w:val="00A33375"/>
    <w:rsid w:val="00A57CFB"/>
    <w:rsid w:val="00A615CD"/>
    <w:rsid w:val="00A8208B"/>
    <w:rsid w:val="00AE6D0C"/>
    <w:rsid w:val="00AF120A"/>
    <w:rsid w:val="00AF6990"/>
    <w:rsid w:val="00B11BAB"/>
    <w:rsid w:val="00B21C4F"/>
    <w:rsid w:val="00B36D62"/>
    <w:rsid w:val="00B50F14"/>
    <w:rsid w:val="00B6564E"/>
    <w:rsid w:val="00B7087F"/>
    <w:rsid w:val="00BC4E9A"/>
    <w:rsid w:val="00C325E4"/>
    <w:rsid w:val="00C5158E"/>
    <w:rsid w:val="00C55433"/>
    <w:rsid w:val="00C74000"/>
    <w:rsid w:val="00CA495D"/>
    <w:rsid w:val="00D555AF"/>
    <w:rsid w:val="00D6258E"/>
    <w:rsid w:val="00D93D38"/>
    <w:rsid w:val="00DA5630"/>
    <w:rsid w:val="00DC050B"/>
    <w:rsid w:val="00DC748C"/>
    <w:rsid w:val="00E01E0B"/>
    <w:rsid w:val="00E372D7"/>
    <w:rsid w:val="00E65DBB"/>
    <w:rsid w:val="00E86A97"/>
    <w:rsid w:val="00E973E7"/>
    <w:rsid w:val="00F26CC3"/>
    <w:rsid w:val="00F61F0E"/>
    <w:rsid w:val="00F62C5B"/>
    <w:rsid w:val="00F813D1"/>
    <w:rsid w:val="00FF44D9"/>
    <w:rsid w:val="00FF4CAB"/>
    <w:rsid w:val="08860ED7"/>
    <w:rsid w:val="091E4A4B"/>
    <w:rsid w:val="0E953630"/>
    <w:rsid w:val="14B90DCD"/>
    <w:rsid w:val="15394AFA"/>
    <w:rsid w:val="1C411ED2"/>
    <w:rsid w:val="1EE1226D"/>
    <w:rsid w:val="213C25E1"/>
    <w:rsid w:val="21F8268F"/>
    <w:rsid w:val="22F66C25"/>
    <w:rsid w:val="2C696F5A"/>
    <w:rsid w:val="2C7E7FFC"/>
    <w:rsid w:val="2D006B9D"/>
    <w:rsid w:val="310238B8"/>
    <w:rsid w:val="3169514A"/>
    <w:rsid w:val="39B863E6"/>
    <w:rsid w:val="3E0844C2"/>
    <w:rsid w:val="42994E15"/>
    <w:rsid w:val="4343110F"/>
    <w:rsid w:val="44337121"/>
    <w:rsid w:val="465271ED"/>
    <w:rsid w:val="47D5465E"/>
    <w:rsid w:val="4A0102DD"/>
    <w:rsid w:val="4B315863"/>
    <w:rsid w:val="4B6A6FB0"/>
    <w:rsid w:val="54A01673"/>
    <w:rsid w:val="5E30534E"/>
    <w:rsid w:val="5F314FB9"/>
    <w:rsid w:val="60223801"/>
    <w:rsid w:val="61D57D99"/>
    <w:rsid w:val="62B116B4"/>
    <w:rsid w:val="663667B8"/>
    <w:rsid w:val="68997966"/>
    <w:rsid w:val="6D9430D1"/>
    <w:rsid w:val="6E70250E"/>
    <w:rsid w:val="70CB5896"/>
    <w:rsid w:val="71605077"/>
    <w:rsid w:val="735613E6"/>
    <w:rsid w:val="74787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1416</Characters>
  <Lines>11</Lines>
  <Paragraphs>3</Paragraphs>
  <TotalTime>11</TotalTime>
  <ScaleCrop>false</ScaleCrop>
  <LinksUpToDate>false</LinksUpToDate>
  <CharactersWithSpaces>1661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2019-07-17T02:22:00Z</dcterms:created>
  <dc:creator>彭欢欢</dc:creator>
  <cp:lastModifiedBy>徐娜</cp:lastModifiedBy>
  <dcterms:modified xsi:type="dcterms:W3CDTF">2022-01-12T06:07:17Z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C26AA37BA93A4F1C921BB4A9273FE3AE</vt:lpwstr>
  </property>
</Properties>
</file>